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88" w:rsidRDefault="00457F7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 приказу</w:t>
      </w:r>
    </w:p>
    <w:p w:rsidR="00457F7A" w:rsidRDefault="00457F7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31.10.2024 г. № 112</w:t>
      </w:r>
      <w:proofErr w:type="gramStart"/>
      <w:r>
        <w:rPr>
          <w:rFonts w:ascii="Times New Roman" w:eastAsia="Times New Roman" w:hAnsi="Times New Roman" w:cs="Times New Roman"/>
          <w:color w:val="000000"/>
          <w:sz w:val="24"/>
          <w:szCs w:val="24"/>
        </w:rPr>
        <w:t>/А</w:t>
      </w:r>
      <w:proofErr w:type="gramEnd"/>
    </w:p>
    <w:p w:rsidR="00201B88" w:rsidRDefault="00201B8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201B88" w:rsidRDefault="00457F7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rsidR="00201B88" w:rsidRDefault="00457F7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МБДОУ «Конезаводской детский сад»</w:t>
      </w:r>
    </w:p>
    <w:p w:rsidR="00201B88" w:rsidRDefault="00457F7A">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_______________О.И. </w:t>
      </w:r>
      <w:proofErr w:type="spellStart"/>
      <w:r>
        <w:rPr>
          <w:rFonts w:ascii="Times New Roman" w:eastAsia="Times New Roman" w:hAnsi="Times New Roman" w:cs="Times New Roman"/>
          <w:color w:val="000000"/>
          <w:sz w:val="24"/>
          <w:szCs w:val="24"/>
        </w:rPr>
        <w:t>Себелева</w:t>
      </w:r>
      <w:proofErr w:type="spellEnd"/>
    </w:p>
    <w:p w:rsidR="00201B88" w:rsidRDefault="00201B8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201B88" w:rsidRDefault="00201B8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bl>
      <w:tblPr>
        <w:tblStyle w:val="a5"/>
        <w:tblW w:w="10631"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
        <w:gridCol w:w="219"/>
        <w:gridCol w:w="10192"/>
        <w:gridCol w:w="180"/>
      </w:tblGrid>
      <w:tr w:rsidR="00201B88" w:rsidTr="00457F7A">
        <w:tc>
          <w:tcPr>
            <w:tcW w:w="20" w:type="dxa"/>
            <w:shd w:val="clear" w:color="auto" w:fill="DEDEDE"/>
            <w:tcMar>
              <w:top w:w="0" w:type="dxa"/>
              <w:left w:w="0" w:type="dxa"/>
              <w:bottom w:w="0" w:type="dxa"/>
              <w:right w:w="0" w:type="dxa"/>
            </w:tcMar>
          </w:tcPr>
          <w:p w:rsidR="00201B88" w:rsidRDefault="00201B8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220" w:type="dxa"/>
            <w:shd w:val="clear" w:color="auto" w:fill="auto"/>
            <w:tcMar>
              <w:top w:w="0" w:type="dxa"/>
              <w:left w:w="0" w:type="dxa"/>
              <w:bottom w:w="0" w:type="dxa"/>
              <w:right w:w="0" w:type="dxa"/>
            </w:tcMar>
          </w:tcPr>
          <w:p w:rsidR="00201B88" w:rsidRDefault="00201B8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0211" w:type="dxa"/>
            <w:shd w:val="clear" w:color="auto" w:fill="auto"/>
            <w:tcMar>
              <w:top w:w="180" w:type="dxa"/>
              <w:left w:w="0" w:type="dxa"/>
              <w:bottom w:w="180" w:type="dxa"/>
              <w:right w:w="0" w:type="dxa"/>
            </w:tcMar>
          </w:tcPr>
          <w:p w:rsidR="00201B88" w:rsidRDefault="00457F7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color w:val="000000"/>
                <w:sz w:val="24"/>
                <w:szCs w:val="24"/>
              </w:rPr>
              <w:t>Положен</w:t>
            </w:r>
            <w:r w:rsidR="00874C7A">
              <w:rPr>
                <w:rFonts w:ascii="Times New Roman" w:eastAsia="Times New Roman" w:hAnsi="Times New Roman" w:cs="Times New Roman"/>
                <w:b/>
                <w:color w:val="000000"/>
                <w:sz w:val="24"/>
                <w:szCs w:val="24"/>
              </w:rPr>
              <w:t>ие о приёмочной комиссии МБДОУ «</w:t>
            </w:r>
            <w:r>
              <w:rPr>
                <w:rFonts w:ascii="Times New Roman" w:eastAsia="Times New Roman" w:hAnsi="Times New Roman" w:cs="Times New Roman"/>
                <w:b/>
                <w:color w:val="000000"/>
                <w:sz w:val="24"/>
                <w:szCs w:val="24"/>
              </w:rPr>
              <w:t>Конезаводской детский сад»</w:t>
            </w:r>
          </w:p>
          <w:p w:rsidR="00201B88" w:rsidRDefault="00201B8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bookmarkEnd w:id="0"/>
          <w:p w:rsidR="00201B88" w:rsidRDefault="00457F7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Настоящее Положение о приемочной комиссии (далее - Положение) регламентирует функции, порядок организации работы комиссии, создаваемой для приемки поставленных товаров, выполненных работ, оказанных услуг, результатов отдельного этапа исполнения контракта для нужд муниципального бюджетного дошкольного образовательного учреждения «Конезаводской детский сад»" (далее - Заказчик).</w:t>
            </w:r>
            <w:proofErr w:type="gramEnd"/>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Приемочная комиссия Заказчика (далее - Комиссия) является коллегиальным органом, уполномоченным на приемку поставленных товаров, выполненных работ, оказанных услуг, результатов отдельного этапа исполнения контрактов. </w:t>
            </w:r>
            <w:proofErr w:type="gramStart"/>
            <w:r>
              <w:rPr>
                <w:rFonts w:ascii="Times New Roman" w:eastAsia="Times New Roman" w:hAnsi="Times New Roman" w:cs="Times New Roman"/>
                <w:color w:val="000000"/>
                <w:sz w:val="24"/>
                <w:szCs w:val="24"/>
              </w:rPr>
              <w:t xml:space="preserve">Комиссия в своей деятельности руководствуется Гражданским </w:t>
            </w:r>
            <w:hyperlink r:id="rId6">
              <w:r>
                <w:rPr>
                  <w:rFonts w:ascii="Times New Roman" w:eastAsia="Times New Roman" w:hAnsi="Times New Roman" w:cs="Times New Roman"/>
                  <w:color w:val="0000FF"/>
                  <w:sz w:val="24"/>
                  <w:szCs w:val="24"/>
                </w:rPr>
                <w:t>кодексом</w:t>
              </w:r>
            </w:hyperlink>
            <w:r>
              <w:rPr>
                <w:rFonts w:ascii="Times New Roman" w:eastAsia="Times New Roman" w:hAnsi="Times New Roman" w:cs="Times New Roman"/>
                <w:color w:val="000000"/>
                <w:sz w:val="24"/>
                <w:szCs w:val="24"/>
              </w:rPr>
              <w:t xml:space="preserve"> Российской Федерации, Федеральным </w:t>
            </w:r>
            <w:hyperlink r:id="rId7">
              <w:r>
                <w:rPr>
                  <w:rFonts w:ascii="Times New Roman" w:eastAsia="Times New Roman" w:hAnsi="Times New Roman" w:cs="Times New Roman"/>
                  <w:color w:val="0000FF"/>
                  <w:sz w:val="24"/>
                  <w:szCs w:val="24"/>
                </w:rPr>
                <w:t>законом</w:t>
              </w:r>
            </w:hyperlink>
            <w:r>
              <w:rPr>
                <w:rFonts w:ascii="Times New Roman" w:eastAsia="Times New Roman" w:hAnsi="Times New Roman" w:cs="Times New Roman"/>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r>
              <w:rPr>
                <w:rFonts w:ascii="Arial" w:eastAsia="Arial" w:hAnsi="Arial" w:cs="Arial"/>
                <w:color w:val="333333"/>
                <w:sz w:val="23"/>
                <w:szCs w:val="23"/>
              </w:rPr>
              <w:t xml:space="preserve"> Распоряжением Правительства от 26.06.2024 г. № 1636-р «</w:t>
            </w:r>
            <w:r>
              <w:rPr>
                <w:rFonts w:ascii="Times New Roman" w:eastAsia="Times New Roman" w:hAnsi="Times New Roman" w:cs="Times New Roman"/>
                <w:b/>
                <w:color w:val="333333"/>
                <w:sz w:val="24"/>
                <w:szCs w:val="24"/>
              </w:rPr>
              <w:t>Концепцией совершенствования закупок товаров, работ, услуг для обеспечения государственных и муниципальных нужд малого объема на период до 2027 года»,</w:t>
            </w:r>
            <w:r>
              <w:rPr>
                <w:rFonts w:ascii="Times New Roman" w:eastAsia="Times New Roman" w:hAnsi="Times New Roman" w:cs="Times New Roman"/>
                <w:color w:val="000000"/>
                <w:sz w:val="24"/>
                <w:szCs w:val="24"/>
              </w:rPr>
              <w:t xml:space="preserve"> Федеральным</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законом № 160-ФЗ от 11.06.2022 г.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иными федеральными законами и принятыми в соответствии с ними нормативными правовыми актами, настоящим Положением и иными внутренними актами Заказчика.</w:t>
            </w:r>
            <w:proofErr w:type="gramEnd"/>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состав Комиссии входят председатель, члены Комиссии и секретарь Комиссии. Ее членами могут быть как работники Заказчика, так и лица, не являющиеся ими. Численный состав Комиссии - не менее пяти человек. Общее количество членов Комиссии не может быть четным.</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Персональный состав и срок действия Комиссии определяются приказом руководителя Заказчика.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Членами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201B88" w:rsidRDefault="00457F7A">
            <w:pPr>
              <w:widowControl w:val="0"/>
              <w:numPr>
                <w:ilvl w:val="0"/>
                <w:numId w:val="1"/>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если настоящим Федеральным законом предусмотрена документация о закупке), заявок на участие в конкурсе;</w:t>
            </w:r>
          </w:p>
          <w:p w:rsidR="00201B88" w:rsidRDefault="00457F7A">
            <w:pPr>
              <w:widowControl w:val="0"/>
              <w:numPr>
                <w:ilvl w:val="0"/>
                <w:numId w:val="1"/>
              </w:numPr>
              <w:pBdr>
                <w:top w:val="nil"/>
                <w:left w:val="nil"/>
                <w:bottom w:val="nil"/>
                <w:right w:val="nil"/>
                <w:between w:val="nil"/>
              </w:pBdr>
              <w:tabs>
                <w:tab w:val="left" w:pos="540"/>
              </w:tabs>
              <w:spacing w:after="0" w:line="240" w:lineRule="auto"/>
              <w:ind w:hanging="227"/>
              <w:jc w:val="both"/>
            </w:pPr>
            <w:proofErr w:type="gramStart"/>
            <w:r>
              <w:rPr>
                <w:rFonts w:ascii="Times New Roman" w:eastAsia="Times New Roman" w:hAnsi="Times New Roman" w:cs="Times New Roman"/>
                <w:color w:val="000000"/>
                <w:sz w:val="24"/>
                <w:szCs w:val="24"/>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Pr>
                <w:rFonts w:ascii="Times New Roman" w:eastAsia="Times New Roman" w:hAnsi="Times New Roman" w:cs="Times New Roman"/>
                <w:color w:val="000000"/>
                <w:sz w:val="24"/>
                <w:szCs w:val="24"/>
              </w:rPr>
              <w:t xml:space="preserve"> Понятие «личная заинтересованность» используется в значении, указанном в Федеральном законе от 25 декабря 2008 года № 273-ФЗ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противодействию</w:t>
            </w:r>
            <w:proofErr w:type="gramEnd"/>
            <w:r>
              <w:rPr>
                <w:rFonts w:ascii="Times New Roman" w:eastAsia="Times New Roman" w:hAnsi="Times New Roman" w:cs="Times New Roman"/>
                <w:color w:val="000000"/>
                <w:sz w:val="24"/>
                <w:szCs w:val="24"/>
              </w:rPr>
              <w:t xml:space="preserve"> коррупции»;</w:t>
            </w:r>
          </w:p>
          <w:p w:rsidR="00201B88" w:rsidRDefault="00457F7A">
            <w:pPr>
              <w:widowControl w:val="0"/>
              <w:numPr>
                <w:ilvl w:val="0"/>
                <w:numId w:val="1"/>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lastRenderedPageBreak/>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01B88" w:rsidRDefault="00457F7A">
            <w:pPr>
              <w:widowControl w:val="0"/>
              <w:numPr>
                <w:ilvl w:val="0"/>
                <w:numId w:val="1"/>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 xml:space="preserve">Должностные лица органов контроля, указанных в части 1 статьи 99 настоящего Федерального закона, непосредственно осуществляющие контроль в сфере закупок. </w:t>
            </w:r>
          </w:p>
          <w:p w:rsidR="00201B88" w:rsidRDefault="00457F7A">
            <w:pPr>
              <w:widowControl w:val="0"/>
              <w:numPr>
                <w:ilvl w:val="0"/>
                <w:numId w:val="1"/>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выявления в составе Комиссии указанных лиц Заказчик незамедлительно заменяет их другими лицами, которые соответствуют требованиям, предъявляемым к членам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 Комиссии, обнаруживший в процессе работы Комиссии свою личную заинтересованность в результатах исполнения контракта, должен незамедлительно сделать заявление об этом председателю Комиссии, который в таком случае обязан донести до руководителя Заказчика информацию о необходимости замены члена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Функциями Комиссии являются:</w:t>
            </w:r>
          </w:p>
          <w:p w:rsidR="00201B88" w:rsidRDefault="00457F7A">
            <w:pPr>
              <w:widowControl w:val="0"/>
              <w:numPr>
                <w:ilvl w:val="0"/>
                <w:numId w:val="2"/>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проведение экспертизы для проверки предоставленных поставщиком (подрядчиком, исполнителем) результатов исполнения в части их соответствия условиям контракта;</w:t>
            </w:r>
          </w:p>
          <w:p w:rsidR="00201B88" w:rsidRDefault="00457F7A">
            <w:pPr>
              <w:widowControl w:val="0"/>
              <w:numPr>
                <w:ilvl w:val="0"/>
                <w:numId w:val="2"/>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проведение анализа документов и сведений, предоставленных поставщиком, на предмет соответствия результатов исполнения количеству и качеству, ассортименту, сроку годности, утвержденным образцам и формам изготовления, иным требованиям контракта, а также на предмет их соответствия требованиям законодательства Российской Федерации;</w:t>
            </w:r>
          </w:p>
          <w:p w:rsidR="00201B88" w:rsidRDefault="00457F7A">
            <w:pPr>
              <w:widowControl w:val="0"/>
              <w:numPr>
                <w:ilvl w:val="0"/>
                <w:numId w:val="2"/>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доведение до сведения контрактной службы Заказчика информации о необходимости направления поставщику (подрядчику, исполнителю) уведомлений или запросов о разъяснениях по предоставленным результатам исполнения, документам и сведениям;</w:t>
            </w:r>
          </w:p>
          <w:p w:rsidR="00201B88" w:rsidRDefault="00457F7A">
            <w:pPr>
              <w:widowControl w:val="0"/>
              <w:numPr>
                <w:ilvl w:val="0"/>
                <w:numId w:val="2"/>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оформление и подписание документа о приемке либо подготовка мотивированного отказа от приемки результатов исполнения контракта, отдельного этапа исполнения контракта.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Члены Комиссии имеют право:</w:t>
            </w:r>
          </w:p>
          <w:p w:rsidR="00201B88" w:rsidRDefault="00457F7A">
            <w:pPr>
              <w:widowControl w:val="0"/>
              <w:numPr>
                <w:ilvl w:val="0"/>
                <w:numId w:val="3"/>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знакомиться со всеми представленными в ходе приемки результатов исполнения контракта документами и материалами;</w:t>
            </w:r>
          </w:p>
          <w:p w:rsidR="00201B88" w:rsidRDefault="00457F7A">
            <w:pPr>
              <w:widowControl w:val="0"/>
              <w:numPr>
                <w:ilvl w:val="0"/>
                <w:numId w:val="3"/>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выступать по вопросам повестки дня на заседании Комиссии и проверять правильность оформления протоколов, решений и иных документов;</w:t>
            </w:r>
          </w:p>
          <w:p w:rsidR="00201B88" w:rsidRDefault="00457F7A">
            <w:pPr>
              <w:widowControl w:val="0"/>
              <w:numPr>
                <w:ilvl w:val="0"/>
                <w:numId w:val="3"/>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обращаться к председателю Комиссии с предложениями, касающимися организации работы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Члены Комиссии обязаны:</w:t>
            </w:r>
          </w:p>
          <w:p w:rsidR="00201B88" w:rsidRDefault="00457F7A">
            <w:pPr>
              <w:widowControl w:val="0"/>
              <w:numPr>
                <w:ilvl w:val="0"/>
                <w:numId w:val="4"/>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соблюдать законодательство Российской Федерации;</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лично присутствовать на заседаниях Комиссии;</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подписывать оформляемые в ходе заседаний Комиссии протоколы и решения;</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принимать решения по вопросам, относящимся к компетенции Комиссии;</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обеспечивать конфиденциальность информации, содержащейся в заявках участников и иных документах, в соответствии с законодательством РФ;</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при осуществлении закупок принимать меры по предотвращению и урегулированию конфликта интересов в соответствии с Федеральным законом «О противодействии коррупции»</w:t>
            </w:r>
          </w:p>
          <w:p w:rsidR="00201B88" w:rsidRDefault="00457F7A">
            <w:pPr>
              <w:widowControl w:val="0"/>
              <w:numPr>
                <w:ilvl w:val="0"/>
                <w:numId w:val="4"/>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lastRenderedPageBreak/>
              <w:t>незамедлительно сообщать Заказчику о фактах, препятствующих участию в работе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Комиссия выполняет возложенные на нее функции посредством проведения заседаний и выездных проверок результатов исполнения контракта. Заседания и выездные проверки назначаются председателем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bookmarkStart w:id="1" w:name="gjdgxs" w:colFirst="0" w:colLast="0"/>
            <w:bookmarkEnd w:id="1"/>
            <w:r>
              <w:rPr>
                <w:rFonts w:ascii="Times New Roman" w:eastAsia="Times New Roman" w:hAnsi="Times New Roman" w:cs="Times New Roman"/>
                <w:color w:val="000000"/>
                <w:sz w:val="24"/>
                <w:szCs w:val="24"/>
              </w:rPr>
              <w:t>10. Члены Комиссии должны быть уведомлены о месте, дате и времени проведения заседания, выездной проверки не позднее, чем за два рабочих дня.</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Комиссию возглавляет председатель Комиссии.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Комиссии выполняет следующие функции:</w:t>
            </w:r>
          </w:p>
          <w:p w:rsidR="00201B88" w:rsidRDefault="00457F7A">
            <w:pPr>
              <w:widowControl w:val="0"/>
              <w:numPr>
                <w:ilvl w:val="0"/>
                <w:numId w:val="5"/>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осуществляет общее руководство работой Комиссии;</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назначает время и место проведения заседания, выездной проверки;</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ведет заседание Комиссии;</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определяет порядок рассмотрения обсуждаемых вопросов;</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 xml:space="preserve">выносит на обсуждение вопрос о привлечении к работе Комиссии экспертов в случаях, предусмотренных </w:t>
            </w:r>
            <w:hyperlink r:id="rId8">
              <w:r>
                <w:rPr>
                  <w:rFonts w:ascii="Times New Roman" w:eastAsia="Times New Roman" w:hAnsi="Times New Roman" w:cs="Times New Roman"/>
                  <w:color w:val="0000FF"/>
                  <w:sz w:val="24"/>
                  <w:szCs w:val="24"/>
                </w:rPr>
                <w:t>Законом</w:t>
              </w:r>
            </w:hyperlink>
            <w:r>
              <w:rPr>
                <w:rFonts w:ascii="Times New Roman" w:eastAsia="Times New Roman" w:hAnsi="Times New Roman" w:cs="Times New Roman"/>
                <w:color w:val="000000"/>
                <w:sz w:val="24"/>
                <w:szCs w:val="24"/>
              </w:rPr>
              <w:t xml:space="preserve"> N 44-ФЗ, а также когда это необходимо в связи со спецификой результатов исполнения контракта;</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направляет в ответственное подразделение Заказчика запрос о подготовке и выдаче каждому члену Комиссии, являющемуся работником Заказчика, усиленной квалифицированной электронной подписи (далее - электронная подпись);</w:t>
            </w:r>
          </w:p>
          <w:p w:rsidR="00201B88" w:rsidRDefault="00457F7A">
            <w:pPr>
              <w:widowControl w:val="0"/>
              <w:numPr>
                <w:ilvl w:val="0"/>
                <w:numId w:val="5"/>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осуществляет иные действия, необходимые для выполнения Комиссией своих функций.</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Секретарь Комиссии выполняет следующие функции:</w:t>
            </w:r>
          </w:p>
          <w:p w:rsidR="00201B88" w:rsidRDefault="00457F7A">
            <w:pPr>
              <w:widowControl w:val="0"/>
              <w:numPr>
                <w:ilvl w:val="0"/>
                <w:numId w:val="6"/>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осуществляет подготовку заседаний и выездных проверок Комиссии, в том числе сбор и оформление необходимых сведений, направление уведомлений;</w:t>
            </w:r>
          </w:p>
          <w:p w:rsidR="00201B88" w:rsidRDefault="00457F7A">
            <w:pPr>
              <w:widowControl w:val="0"/>
              <w:numPr>
                <w:ilvl w:val="0"/>
                <w:numId w:val="6"/>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 xml:space="preserve">своевременно уведомляет членов Комиссии о месте, дате и времени проведения заседания или выездной проверки в соответствии с </w:t>
            </w:r>
            <w:hyperlink w:anchor="30j0zll">
              <w:r>
                <w:rPr>
                  <w:rFonts w:ascii="Times New Roman" w:eastAsia="Times New Roman" w:hAnsi="Times New Roman" w:cs="Times New Roman"/>
                  <w:color w:val="0000FF"/>
                  <w:sz w:val="24"/>
                  <w:szCs w:val="24"/>
                </w:rPr>
                <w:t>п. 10</w:t>
              </w:r>
            </w:hyperlink>
            <w:r>
              <w:rPr>
                <w:rFonts w:ascii="Times New Roman" w:eastAsia="Times New Roman" w:hAnsi="Times New Roman" w:cs="Times New Roman"/>
                <w:color w:val="000000"/>
                <w:sz w:val="24"/>
                <w:szCs w:val="24"/>
              </w:rPr>
              <w:t xml:space="preserve"> Положения;</w:t>
            </w:r>
          </w:p>
          <w:p w:rsidR="00201B88" w:rsidRDefault="00457F7A">
            <w:pPr>
              <w:widowControl w:val="0"/>
              <w:numPr>
                <w:ilvl w:val="0"/>
                <w:numId w:val="6"/>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информирует членов Комиссии по всем вопросам, относящимся к их функциям;</w:t>
            </w:r>
          </w:p>
          <w:p w:rsidR="00201B88" w:rsidRDefault="00457F7A">
            <w:pPr>
              <w:widowControl w:val="0"/>
              <w:numPr>
                <w:ilvl w:val="0"/>
                <w:numId w:val="6"/>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ведет протоколы, оформляет решения в ходе работы Комиссии;</w:t>
            </w:r>
          </w:p>
          <w:p w:rsidR="00201B88" w:rsidRDefault="00457F7A">
            <w:pPr>
              <w:widowControl w:val="0"/>
              <w:numPr>
                <w:ilvl w:val="0"/>
                <w:numId w:val="6"/>
              </w:numPr>
              <w:pBdr>
                <w:top w:val="nil"/>
                <w:left w:val="nil"/>
                <w:bottom w:val="nil"/>
                <w:right w:val="nil"/>
                <w:between w:val="nil"/>
              </w:pBdr>
              <w:tabs>
                <w:tab w:val="left" w:pos="540"/>
              </w:tabs>
              <w:spacing w:after="0" w:line="240" w:lineRule="auto"/>
              <w:ind w:hanging="227"/>
              <w:jc w:val="both"/>
            </w:pPr>
            <w:r>
              <w:rPr>
                <w:rFonts w:ascii="Times New Roman" w:eastAsia="Times New Roman" w:hAnsi="Times New Roman" w:cs="Times New Roman"/>
                <w:color w:val="000000"/>
                <w:sz w:val="24"/>
                <w:szCs w:val="24"/>
              </w:rPr>
              <w:t>обеспечивает взаимодействие с контрактной службой Заказчика.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Комиссия правомочна принимать решение, если оно достигнуто единогласно всеми ее членами.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Делегирование членами Комиссии своих полномочий иным лицам (в том числе на основании доверенности) не допускается.</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Приемка результатов исполнения контракта, отдельного этапа контракта осуществляется в порядке и в сроки, установленные контрактом.</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Решение Комиссии принять поставленный товар, выполненную работу, оказанные услуги либо результаты отдельного этапа исполнения контракта оформляется документом о приемке в порядке и в сроки, которые установлены в контракте. Документ о приемке подписывается всеми членами Комиссии и утверждается Заказчиком.</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Мотивированный отказ подписать документ о приемке оформляется в письменном виде и направляется поставщику (подрядчику, исполнителю) в порядке и сроки, установленные в контракте для оформления документа о приемке. В мотивированный отказ подписать документ о приемке обязательно включаются причины такого отказа.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Если контракт заключен по результатам проведения электронных процедур, закрытых электронных процедур (за исключением закрытых электронных процедур, проводимых по </w:t>
            </w:r>
            <w:hyperlink r:id="rId9">
              <w:r>
                <w:rPr>
                  <w:rFonts w:ascii="Times New Roman" w:eastAsia="Times New Roman" w:hAnsi="Times New Roman" w:cs="Times New Roman"/>
                  <w:color w:val="0000FF"/>
                  <w:sz w:val="24"/>
                  <w:szCs w:val="24"/>
                </w:rPr>
                <w:t>п. 5 ч. 11 ст. 24</w:t>
              </w:r>
            </w:hyperlink>
            <w:r>
              <w:rPr>
                <w:rFonts w:ascii="Times New Roman" w:eastAsia="Times New Roman" w:hAnsi="Times New Roman" w:cs="Times New Roman"/>
                <w:color w:val="000000"/>
                <w:sz w:val="24"/>
                <w:szCs w:val="24"/>
              </w:rPr>
              <w:t xml:space="preserve"> Закона N 44-ФЗ), действует следующий порядок. Не позднее 20 рабочих дней, следующих за днем поступления Заказчику в Единой информационной системе в сфере закупок (далее - ЕИС) подписанного поставщиком (подрядчиком, исполнителем) документа о приемке:</w:t>
            </w:r>
          </w:p>
          <w:p w:rsidR="00201B88" w:rsidRDefault="00457F7A">
            <w:pPr>
              <w:widowControl w:val="0"/>
              <w:numPr>
                <w:ilvl w:val="0"/>
                <w:numId w:val="7"/>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w:t>
            </w:r>
          </w:p>
          <w:p w:rsidR="00201B88" w:rsidRDefault="00457F7A">
            <w:pPr>
              <w:widowControl w:val="0"/>
              <w:pBdr>
                <w:top w:val="nil"/>
                <w:left w:val="nil"/>
                <w:bottom w:val="nil"/>
                <w:right w:val="nil"/>
                <w:between w:val="nil"/>
              </w:pBdr>
              <w:spacing w:before="240"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 состав Комиссии включены лица, которые не являются работниками Заказчика, документ о приемке, мотивированный отказ от его подписания составляются и подписываются без использования электронных подписей и ЕИС;</w:t>
            </w:r>
          </w:p>
          <w:p w:rsidR="00201B88" w:rsidRDefault="00457F7A">
            <w:pPr>
              <w:widowControl w:val="0"/>
              <w:numPr>
                <w:ilvl w:val="0"/>
                <w:numId w:val="7"/>
              </w:numPr>
              <w:pBdr>
                <w:top w:val="nil"/>
                <w:left w:val="nil"/>
                <w:bottom w:val="nil"/>
                <w:right w:val="nil"/>
                <w:between w:val="nil"/>
              </w:pBdr>
              <w:tabs>
                <w:tab w:val="left" w:pos="540"/>
              </w:tabs>
              <w:spacing w:before="240" w:after="0" w:line="240" w:lineRule="auto"/>
              <w:ind w:hanging="227"/>
              <w:jc w:val="both"/>
            </w:pPr>
            <w:r>
              <w:rPr>
                <w:rFonts w:ascii="Times New Roman" w:eastAsia="Times New Roman" w:hAnsi="Times New Roman" w:cs="Times New Roman"/>
                <w:color w:val="000000"/>
                <w:sz w:val="24"/>
                <w:szCs w:val="24"/>
              </w:rPr>
              <w:t>Заказчик после членов Комиссии подписывает документ о приемке или мотивированный отказ от его подписания электронной подписью лица, имеющего право действовать от имени Заказчика, и размещает его в ЕИС.</w:t>
            </w:r>
          </w:p>
          <w:p w:rsidR="00201B88" w:rsidRDefault="00457F7A">
            <w:pPr>
              <w:widowControl w:val="0"/>
              <w:pBdr>
                <w:top w:val="nil"/>
                <w:left w:val="nil"/>
                <w:bottom w:val="nil"/>
                <w:right w:val="nil"/>
                <w:between w:val="nil"/>
              </w:pBdr>
              <w:spacing w:before="240"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документ о приемке, мотивированный отказ от его подписания составлены и подписаны членами Комиссии без использования электронных подписей и ЕИС, Заказчик прилагает подписанные ими документы в форме электронных образов (скана) бумажных документов.</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Поставщик (подрядчик, исполнитель) после получения мотивированного отказа от подписания документа о приемке вправе устранить обстоятельства, послужившие причинами для отказа, и заново направить Заказчику документ о приемке в порядке, предусмотренном </w:t>
            </w:r>
            <w:hyperlink r:id="rId10">
              <w:r>
                <w:rPr>
                  <w:rFonts w:ascii="Times New Roman" w:eastAsia="Times New Roman" w:hAnsi="Times New Roman" w:cs="Times New Roman"/>
                  <w:color w:val="0000FF"/>
                  <w:sz w:val="24"/>
                  <w:szCs w:val="24"/>
                </w:rPr>
                <w:t>ч. 13 ст. 94</w:t>
              </w:r>
            </w:hyperlink>
            <w:r>
              <w:rPr>
                <w:rFonts w:ascii="Times New Roman" w:eastAsia="Times New Roman" w:hAnsi="Times New Roman" w:cs="Times New Roman"/>
                <w:color w:val="000000"/>
                <w:sz w:val="24"/>
                <w:szCs w:val="24"/>
              </w:rPr>
              <w:t xml:space="preserve"> Закона N 44-ФЗ.</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Датой приемки поставленного товара (выполненной работы, оказанной услуги) считается дата размещения в ЕИС документа о приемке, подписанного Заказчиком.</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Если Заказчик установил требование об обеспечении гарантийных обязательств, документ о приемке поставленного товара, выполненной работы, оказанной услуги оформляется после того, как поставщик (подрядчик, исполнитель) предоставил такое обеспечение в соответствии с </w:t>
            </w:r>
            <w:hyperlink r:id="rId11">
              <w:r>
                <w:rPr>
                  <w:rFonts w:ascii="Times New Roman" w:eastAsia="Times New Roman" w:hAnsi="Times New Roman" w:cs="Times New Roman"/>
                  <w:color w:val="0000FF"/>
                  <w:sz w:val="24"/>
                  <w:szCs w:val="24"/>
                </w:rPr>
                <w:t>Законом</w:t>
              </w:r>
            </w:hyperlink>
            <w:r>
              <w:rPr>
                <w:rFonts w:ascii="Times New Roman" w:eastAsia="Times New Roman" w:hAnsi="Times New Roman" w:cs="Times New Roman"/>
                <w:color w:val="000000"/>
                <w:sz w:val="24"/>
                <w:szCs w:val="24"/>
              </w:rPr>
              <w:t xml:space="preserve"> N 44-ФЗ в порядке и в сроки, которые предусмотрены в контракте. Положения данного пункта не распространяются на приемку результатов отдельного этапа исполнения контракта.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gramStart"/>
            <w:r>
              <w:rPr>
                <w:rFonts w:ascii="Times New Roman" w:eastAsia="Times New Roman" w:hAnsi="Times New Roman" w:cs="Times New Roman"/>
                <w:color w:val="000000"/>
                <w:sz w:val="24"/>
                <w:szCs w:val="24"/>
              </w:rPr>
              <w:t xml:space="preserve">При исполнении контракта жизненного цикла документ о приемке поставленного товара,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оформляется после того, как поставщик (подрядчик) предоставил в соответствии с </w:t>
            </w:r>
            <w:hyperlink r:id="rId12">
              <w:r>
                <w:rPr>
                  <w:rFonts w:ascii="Times New Roman" w:eastAsia="Times New Roman" w:hAnsi="Times New Roman" w:cs="Times New Roman"/>
                  <w:color w:val="0000FF"/>
                  <w:sz w:val="24"/>
                  <w:szCs w:val="24"/>
                </w:rPr>
                <w:t>Законом</w:t>
              </w:r>
            </w:hyperlink>
            <w:r>
              <w:rPr>
                <w:rFonts w:ascii="Times New Roman" w:eastAsia="Times New Roman" w:hAnsi="Times New Roman" w:cs="Times New Roman"/>
                <w:color w:val="000000"/>
                <w:sz w:val="24"/>
                <w:szCs w:val="24"/>
              </w:rPr>
              <w:t xml:space="preserve"> N 44-ФЗ в порядке и в сроки, которые установлены контрактом, обеспечение исполнения контракта в части последующего обслуживания при</w:t>
            </w:r>
            <w:proofErr w:type="gramEnd"/>
            <w:r>
              <w:rPr>
                <w:rFonts w:ascii="Times New Roman" w:eastAsia="Times New Roman" w:hAnsi="Times New Roman" w:cs="Times New Roman"/>
                <w:color w:val="000000"/>
                <w:sz w:val="24"/>
                <w:szCs w:val="24"/>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Приемочная Комиссия, в соответствии с </w:t>
            </w:r>
            <w:hyperlink r:id="rId13">
              <w:r>
                <w:rPr>
                  <w:rFonts w:ascii="Times New Roman" w:eastAsia="Times New Roman" w:hAnsi="Times New Roman" w:cs="Times New Roman"/>
                  <w:color w:val="0000FF"/>
                  <w:sz w:val="24"/>
                  <w:szCs w:val="24"/>
                </w:rPr>
                <w:t>ч. 8 ст. 94</w:t>
              </w:r>
            </w:hyperlink>
            <w:r>
              <w:rPr>
                <w:rFonts w:ascii="Times New Roman" w:eastAsia="Times New Roman" w:hAnsi="Times New Roman" w:cs="Times New Roman"/>
                <w:color w:val="000000"/>
                <w:sz w:val="24"/>
                <w:szCs w:val="24"/>
              </w:rPr>
              <w:t xml:space="preserve"> Закона N 44-ФЗ, вправе не отказывать в приемке результатов исполнения контракта либо отдельного этапа исполнения контракта в случае выявления несоответствия товара, работы, услуги условиям контракта, если выявленное несоответствие не препятствует приемке и устранено поставщиком (подрядчиком, исполнителем).</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В случае если в соответствии с </w:t>
            </w:r>
            <w:hyperlink r:id="rId14">
              <w:r>
                <w:rPr>
                  <w:rFonts w:ascii="Times New Roman" w:eastAsia="Times New Roman" w:hAnsi="Times New Roman" w:cs="Times New Roman"/>
                  <w:color w:val="0000FF"/>
                  <w:sz w:val="24"/>
                  <w:szCs w:val="24"/>
                </w:rPr>
                <w:t>ч. 3</w:t>
              </w:r>
            </w:hyperlink>
            <w:r>
              <w:rPr>
                <w:rFonts w:ascii="Times New Roman" w:eastAsia="Times New Roman" w:hAnsi="Times New Roman" w:cs="Times New Roman"/>
                <w:color w:val="000000"/>
                <w:sz w:val="24"/>
                <w:szCs w:val="24"/>
              </w:rPr>
              <w:t xml:space="preserve">, </w:t>
            </w:r>
            <w:hyperlink r:id="rId15">
              <w:r>
                <w:rPr>
                  <w:rFonts w:ascii="Times New Roman" w:eastAsia="Times New Roman" w:hAnsi="Times New Roman" w:cs="Times New Roman"/>
                  <w:color w:val="0000FF"/>
                  <w:sz w:val="24"/>
                  <w:szCs w:val="24"/>
                </w:rPr>
                <w:t>4.1 ст. 94</w:t>
              </w:r>
            </w:hyperlink>
            <w:r>
              <w:rPr>
                <w:rFonts w:ascii="Times New Roman" w:eastAsia="Times New Roman" w:hAnsi="Times New Roman" w:cs="Times New Roman"/>
                <w:color w:val="000000"/>
                <w:sz w:val="24"/>
                <w:szCs w:val="24"/>
              </w:rPr>
              <w:t xml:space="preserve"> Закона N 44-ФЗ экспертиза поставленных товаров, выполненных работ, оказанных услуг проведена привлеченными экспертами, </w:t>
            </w:r>
            <w:r>
              <w:rPr>
                <w:rFonts w:ascii="Times New Roman" w:eastAsia="Times New Roman" w:hAnsi="Times New Roman" w:cs="Times New Roman"/>
                <w:color w:val="000000"/>
                <w:sz w:val="24"/>
                <w:szCs w:val="24"/>
              </w:rPr>
              <w:lastRenderedPageBreak/>
              <w:t>экспертными организациями, Комиссия должна учитывать отраженные в заключении по результатам указанной экспертизы предложения экспертов, экспертных организаций.</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r:id="rId16">
              <w:r>
                <w:rPr>
                  <w:rFonts w:ascii="Times New Roman" w:eastAsia="Times New Roman" w:hAnsi="Times New Roman" w:cs="Times New Roman"/>
                  <w:color w:val="0000FF"/>
                  <w:sz w:val="24"/>
                  <w:szCs w:val="24"/>
                </w:rPr>
                <w:t>ч. 2</w:t>
              </w:r>
            </w:hyperlink>
            <w:r>
              <w:rPr>
                <w:rFonts w:ascii="Times New Roman" w:eastAsia="Times New Roman" w:hAnsi="Times New Roman" w:cs="Times New Roman"/>
                <w:color w:val="000000"/>
                <w:sz w:val="24"/>
                <w:szCs w:val="24"/>
              </w:rPr>
              <w:t xml:space="preserve">, </w:t>
            </w:r>
            <w:hyperlink r:id="rId17">
              <w:r>
                <w:rPr>
                  <w:rFonts w:ascii="Times New Roman" w:eastAsia="Times New Roman" w:hAnsi="Times New Roman" w:cs="Times New Roman"/>
                  <w:color w:val="0000FF"/>
                  <w:sz w:val="24"/>
                  <w:szCs w:val="24"/>
                </w:rPr>
                <w:t>3 ст. 2</w:t>
              </w:r>
            </w:hyperlink>
            <w:r>
              <w:rPr>
                <w:rFonts w:ascii="Times New Roman" w:eastAsia="Times New Roman" w:hAnsi="Times New Roman" w:cs="Times New Roman"/>
                <w:color w:val="000000"/>
                <w:sz w:val="24"/>
                <w:szCs w:val="24"/>
              </w:rPr>
              <w:t xml:space="preserve"> Закона N 44-ФЗ.</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Если члену Комиссии станет известно о нарушении порядка приемки товаров, работ, услуг, закупаемых для нужд Заказчика, он обязан письменно сообщить о данном нарушении председателю и (или) Заказчику в течение одного рабочего дня с момента, когда он узнал о таком нарушении.</w:t>
            </w:r>
          </w:p>
          <w:p w:rsidR="00201B88" w:rsidRDefault="00457F7A">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Члены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tc>
        <w:tc>
          <w:tcPr>
            <w:tcW w:w="180" w:type="dxa"/>
            <w:shd w:val="clear" w:color="auto" w:fill="auto"/>
            <w:tcMar>
              <w:top w:w="0" w:type="dxa"/>
              <w:left w:w="0" w:type="dxa"/>
              <w:bottom w:w="0" w:type="dxa"/>
              <w:right w:w="0" w:type="dxa"/>
            </w:tcMar>
          </w:tcPr>
          <w:p w:rsidR="00201B88" w:rsidRDefault="00201B88">
            <w:pPr>
              <w:widowControl w:v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4"/>
                <w:szCs w:val="24"/>
              </w:rPr>
            </w:pPr>
          </w:p>
        </w:tc>
      </w:tr>
    </w:tbl>
    <w:p w:rsidR="00201B88" w:rsidRDefault="00201B8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01B88" w:rsidRDefault="00201B88">
      <w:pPr>
        <w:pBdr>
          <w:top w:val="nil"/>
          <w:left w:val="nil"/>
          <w:bottom w:val="nil"/>
          <w:right w:val="nil"/>
          <w:between w:val="nil"/>
        </w:pBdr>
        <w:jc w:val="right"/>
        <w:rPr>
          <w:rFonts w:ascii="Times New Roman" w:eastAsia="Times New Roman" w:hAnsi="Times New Roman" w:cs="Times New Roman"/>
          <w:color w:val="000000"/>
          <w:sz w:val="24"/>
          <w:szCs w:val="24"/>
        </w:rPr>
      </w:pPr>
    </w:p>
    <w:sectPr w:rsidR="00201B88">
      <w:pgSz w:w="11906" w:h="16838"/>
      <w:pgMar w:top="426" w:right="566" w:bottom="1440" w:left="70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B59"/>
    <w:multiLevelType w:val="multilevel"/>
    <w:tmpl w:val="785849DA"/>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nsid w:val="0B555DC9"/>
    <w:multiLevelType w:val="multilevel"/>
    <w:tmpl w:val="45B6CB6E"/>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nsid w:val="240C07EB"/>
    <w:multiLevelType w:val="multilevel"/>
    <w:tmpl w:val="EA7E98C0"/>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nsid w:val="4B577F80"/>
    <w:multiLevelType w:val="multilevel"/>
    <w:tmpl w:val="4DA89376"/>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nsid w:val="4FF06D0D"/>
    <w:multiLevelType w:val="multilevel"/>
    <w:tmpl w:val="AC604F4E"/>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
    <w:nsid w:val="653270AC"/>
    <w:multiLevelType w:val="multilevel"/>
    <w:tmpl w:val="6E0898BE"/>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nsid w:val="70007131"/>
    <w:multiLevelType w:val="multilevel"/>
    <w:tmpl w:val="79123EA8"/>
    <w:lvl w:ilvl="0">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5">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lvl w:ilvl="8">
      <w:start w:val="1"/>
      <w:numFmt w:val="bullet"/>
      <w:lvlText w:val="∙"/>
      <w:lvlJc w:val="left"/>
      <w:pPr>
        <w:ind w:left="540" w:firstLine="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01B88"/>
    <w:rsid w:val="00201B88"/>
    <w:rsid w:val="00457F7A"/>
    <w:rsid w:val="0087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ate=01.02.2022" TargetMode="External"/><Relationship Id="rId13" Type="http://schemas.openxmlformats.org/officeDocument/2006/relationships/hyperlink" Target="https://login.consultant.ru/link/?req=doc&amp;base=LAW&amp;n=388926&amp;date=01.02.2022&amp;dst=101301&amp;field=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388926&amp;date=01.02.2022" TargetMode="External"/><Relationship Id="rId12" Type="http://schemas.openxmlformats.org/officeDocument/2006/relationships/hyperlink" Target="https://login.consultant.ru/link/?req=doc&amp;base=LAW&amp;n=388926&amp;date=01.02.2022" TargetMode="External"/><Relationship Id="rId17" Type="http://schemas.openxmlformats.org/officeDocument/2006/relationships/hyperlink" Target="https://login.consultant.ru/link/?req=doc&amp;base=LAW&amp;n=388926&amp;date=01.02.2022&amp;dst=206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388926&amp;date=01.02.2022&amp;dst=89&amp;fie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402655&amp;date=01.02.2022" TargetMode="External"/><Relationship Id="rId11" Type="http://schemas.openxmlformats.org/officeDocument/2006/relationships/hyperlink" Target="https://login.consultant.ru/link/?req=doc&amp;base=LAW&amp;n=388926&amp;date=01.0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926&amp;date=01.02.2022&amp;dst=1350&amp;field=134" TargetMode="External"/><Relationship Id="rId10" Type="http://schemas.openxmlformats.org/officeDocument/2006/relationships/hyperlink" Target="https://login.consultant.ru/link/?req=doc&amp;base=LAW&amp;n=388926&amp;date=01.02.2022&amp;dst=2953&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88926&amp;date=01.02.2022&amp;dst=2141&amp;field=134" TargetMode="External"/><Relationship Id="rId14" Type="http://schemas.openxmlformats.org/officeDocument/2006/relationships/hyperlink" Target="https://login.consultant.ru/link/?req=doc&amp;base=LAW&amp;n=388926&amp;date=01.02.2022&amp;dst=101296&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рбт</cp:lastModifiedBy>
  <cp:revision>3</cp:revision>
  <dcterms:created xsi:type="dcterms:W3CDTF">2024-11-05T09:51:00Z</dcterms:created>
  <dcterms:modified xsi:type="dcterms:W3CDTF">2024-11-05T10:36:00Z</dcterms:modified>
</cp:coreProperties>
</file>